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 w:rsidR="00A70F1C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D95558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Tr="00B072EE">
        <w:tc>
          <w:tcPr>
            <w:tcW w:w="675" w:type="dxa"/>
            <w:vAlign w:val="center"/>
          </w:tcPr>
          <w:p w:rsidR="00B072EE" w:rsidRPr="00B1224A" w:rsidRDefault="00B072EE" w:rsidP="00A96F4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312EC9" w:rsidRDefault="00B072EE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BE0108" w:rsidRDefault="00BE0108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 </w:t>
            </w:r>
            <w:r w:rsidR="00B072EE">
              <w:rPr>
                <w:rFonts w:ascii="Times New Roman" w:eastAsia="Times New Roman" w:hAnsi="Times New Roman" w:cs="Times New Roman"/>
              </w:rPr>
              <w:t>в 2019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9E67FB" w:rsidRDefault="00BE0108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>3</w:t>
            </w:r>
            <w:r w:rsidR="00B072EE" w:rsidRPr="009E67FB">
              <w:rPr>
                <w:b w:val="0"/>
                <w:sz w:val="22"/>
                <w:szCs w:val="22"/>
              </w:rPr>
              <w:t xml:space="preserve">) Подрядная организация по отдельным видам работ по договорам </w:t>
            </w:r>
            <w:r w:rsidR="00B072EE" w:rsidRPr="009E67FB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="00B072EE"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B072EE"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="00B072EE"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="00B072EE"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9E67FB" w:rsidRDefault="00BE0108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  <w:r w:rsidR="00B072EE" w:rsidRPr="009E67FB">
              <w:rPr>
                <w:rFonts w:ascii="Times New Roman" w:eastAsia="Times New Roman" w:hAnsi="Times New Roman" w:cs="Times New Roman"/>
              </w:rPr>
              <w:t xml:space="preserve">) Другое </w:t>
            </w:r>
            <w:r w:rsidR="00B072EE"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2019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5) Проектирование гидротехнических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BE0108" w:rsidRDefault="00BE0108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B072EE" w:rsidRPr="00845BDC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67FB" w:rsidRDefault="00312EC9" w:rsidP="009E67F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B072EE" w:rsidRPr="00BE0108" w:rsidRDefault="00B072EE" w:rsidP="009E67F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 w:rsidR="00BE0108">
              <w:rPr>
                <w:sz w:val="22"/>
                <w:szCs w:val="22"/>
              </w:rPr>
              <w:t>на под</w:t>
            </w:r>
            <w:r w:rsidR="009E67FB">
              <w:rPr>
                <w:sz w:val="22"/>
                <w:szCs w:val="22"/>
              </w:rPr>
              <w:t>готовку проектной документации за отчетный период</w:t>
            </w:r>
            <w:r w:rsidR="00F55FD2">
              <w:rPr>
                <w:sz w:val="22"/>
                <w:szCs w:val="22"/>
              </w:rPr>
              <w:t>*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F55FD2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9E67FB" w:rsidRDefault="009B54B5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="009E67FB"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="009E67FB"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="009E67FB"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9E67FB" w:rsidRPr="00BE0108" w:rsidRDefault="009E67FB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9E67FB" w:rsidRPr="002429D2" w:rsidRDefault="009E67FB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</w:t>
            </w:r>
            <w:bookmarkStart w:id="0" w:name="_GoBack"/>
            <w:bookmarkEnd w:id="0"/>
            <w:r w:rsidRPr="00ED3857">
              <w:rPr>
                <w:sz w:val="22"/>
                <w:szCs w:val="22"/>
              </w:rPr>
              <w:t>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Default="00B072EE" w:rsidP="00B072EE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>Период с 01 января 2019 по 31 декабря 2019 года</w:t>
      </w:r>
    </w:p>
    <w:p w:rsidR="00BE0108" w:rsidRPr="00B072EE" w:rsidRDefault="00BE0108" w:rsidP="00B072EE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704097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9E67FB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Pr="000949B5" w:rsidRDefault="00DD478A" w:rsidP="00DD478A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5300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E4CBD"/>
    <w:rsid w:val="001432CA"/>
    <w:rsid w:val="001701A8"/>
    <w:rsid w:val="001C7A59"/>
    <w:rsid w:val="002429D2"/>
    <w:rsid w:val="00312EC9"/>
    <w:rsid w:val="003C5AB4"/>
    <w:rsid w:val="005C5893"/>
    <w:rsid w:val="00704097"/>
    <w:rsid w:val="007C4DC3"/>
    <w:rsid w:val="008263E1"/>
    <w:rsid w:val="00853F17"/>
    <w:rsid w:val="008A5F7F"/>
    <w:rsid w:val="009B54B5"/>
    <w:rsid w:val="009E67FB"/>
    <w:rsid w:val="00A70F1C"/>
    <w:rsid w:val="00A8167F"/>
    <w:rsid w:val="00B01EE6"/>
    <w:rsid w:val="00B072EE"/>
    <w:rsid w:val="00B1224A"/>
    <w:rsid w:val="00BD7D46"/>
    <w:rsid w:val="00BE0108"/>
    <w:rsid w:val="00D53001"/>
    <w:rsid w:val="00DD478A"/>
    <w:rsid w:val="00E76C00"/>
    <w:rsid w:val="00F06782"/>
    <w:rsid w:val="00F07316"/>
    <w:rsid w:val="00F55FD2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27</cp:revision>
  <cp:lastPrinted>2019-12-17T04:41:00Z</cp:lastPrinted>
  <dcterms:created xsi:type="dcterms:W3CDTF">2018-01-09T05:29:00Z</dcterms:created>
  <dcterms:modified xsi:type="dcterms:W3CDTF">2019-12-17T08:22:00Z</dcterms:modified>
</cp:coreProperties>
</file>